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6350</wp:posOffset>
            </wp:positionH>
            <wp:positionV relativeFrom="page">
              <wp:posOffset>0</wp:posOffset>
            </wp:positionV>
            <wp:extent cx="10693400" cy="7556500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omms Template Table BG1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0693400" cy="7556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470534</wp:posOffset>
                </wp:positionH>
                <wp:positionV relativeFrom="page">
                  <wp:posOffset>2017819</wp:posOffset>
                </wp:positionV>
                <wp:extent cx="9763761" cy="4495959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63761" cy="4495959"/>
                          <a:chOff x="0" y="0"/>
                          <a:chExt cx="9763760" cy="4495958"/>
                        </a:xfrm>
                      </wpg:grpSpPr>
                      <wps:wsp>
                        <wps:cNvPr id="1073741827" name="Shape 1073741827"/>
                        <wps:cNvSpPr/>
                        <wps:spPr>
                          <a:xfrm>
                            <a:off x="0" y="0"/>
                            <a:ext cx="9763761" cy="449595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8" name="Shape 1073741828"/>
                        <wps:cNvSpPr/>
                        <wps:spPr>
                          <a:xfrm>
                            <a:off x="0" y="0"/>
                            <a:ext cx="3091853" cy="4495959"/>
                          </a:xfrm>
                          <a:prstGeom prst="rect">
                            <a:avLst/>
                          </a:prstGeom>
                        </wps:spPr>
                        <wps:txbx id="1">
                          <w:txbxContent>
                            <w:p>
                              <w:pPr>
                                <w:pStyle w:val="New_Body"/>
                              </w:pPr>
                              <w:r>
                                <w:rPr>
                                  <w:rtl w:val="0"/>
                                </w:rPr>
                                <w:t>As coronavirus (COVID-19) lockdown measures ease across the globe, many businesses and organisations are now creating return to work strategies.</w:t>
                              </w:r>
                            </w:p>
                            <w:p>
                              <w:pPr>
                                <w:pStyle w:val="New_Body"/>
                              </w:pPr>
                              <w:r>
                                <w:rPr>
                                  <w:rtl w:val="0"/>
                                </w:rPr>
                                <w:t xml:space="preserve">There are many challenges to consider when creating a return to work strategy </w:t>
                              </w:r>
                              <w:r>
                                <w:rPr>
                                  <w:rtl w:val="0"/>
                                </w:rPr>
                                <w:t xml:space="preserve">– </w:t>
                              </w:r>
                              <w:r>
                                <w:rPr>
                                  <w:rtl w:val="0"/>
                                </w:rPr>
                                <w:t xml:space="preserve">including how to implement safety and social distancing measures, increasing hygiene controls and updating ways of working to prevent the spread of the virus. </w:t>
                              </w:r>
                            </w:p>
                            <w:p>
                              <w:pPr>
                                <w:pStyle w:val="New_Body"/>
                              </w:pPr>
                              <w:r>
                                <w:rPr>
                                  <w:rtl w:val="0"/>
                                </w:rPr>
                                <w:t xml:space="preserve">Here at Cardinus, we have chosen to follow the </w:t>
                              </w:r>
                              <w:r>
                                <w:rPr>
                                  <w:rStyle w:val="Hyperlink.0"/>
                                </w:rPr>
                                <w:fldChar w:fldCharType="begin" w:fldLock="0"/>
                              </w:r>
                              <w:r>
                                <w:rPr>
                                  <w:rStyle w:val="Hyperlink.0"/>
                                </w:rPr>
                                <w:instrText xml:space="preserve"> HYPERLINK "https://www.cardinus.com/insights/covid-19-hs-response/returning-to-work-after-lockdown/"</w:instrText>
                              </w:r>
                              <w:r>
                                <w:rPr>
                                  <w:rStyle w:val="Hyperlink.0"/>
                                </w:rPr>
                                <w:fldChar w:fldCharType="separate" w:fldLock="0"/>
                              </w:r>
                              <w:r>
                                <w:rPr>
                                  <w:rStyle w:val="Hyperlink.0"/>
                                  <w:rtl w:val="0"/>
                                </w:rPr>
                                <w:t>PIPR (Prepare, Inform, Prevent and Recover) strategy</w:t>
                              </w:r>
                              <w:r>
                                <w:rPr/>
                                <w:fldChar w:fldCharType="end" w:fldLock="0"/>
                              </w:r>
                              <w:r>
                                <w:rPr>
                                  <w:rtl w:val="0"/>
                                </w:rPr>
                                <w:t xml:space="preserve"> This return to work approach is fully flexible and is designed to split everything which needs to be considered into four easy to manage stages. </w:t>
                              </w:r>
                            </w:p>
                            <w:p>
                              <w:pPr>
                                <w:pStyle w:val="Subheading"/>
                              </w:pPr>
                              <w:r>
                                <w:rPr>
                                  <w:rtl w:val="0"/>
                                </w:rPr>
                                <w:t xml:space="preserve">Inform </w:t>
                              </w:r>
                            </w:p>
                            <w:p>
                              <w:pPr>
                                <w:pStyle w:val="New_Body"/>
                              </w:pPr>
                              <w:r>
                                <w:rPr>
                                  <w:rtl w:val="0"/>
                                </w:rPr>
                                <w:t xml:space="preserve">The </w:t>
                              </w:r>
                              <w:r>
                                <w:rPr>
                                  <w:rtl w:val="0"/>
                                </w:rPr>
                                <w:t>‘</w:t>
                              </w:r>
                              <w:r>
                                <w:rPr>
                                  <w:rtl w:val="0"/>
                                </w:rPr>
                                <w:t>inform</w:t>
                              </w:r>
                              <w:r>
                                <w:rPr>
                                  <w:rtl w:val="0"/>
                                </w:rPr>
                                <w:t xml:space="preserve">’ </w:t>
                              </w:r>
                              <w:r>
                                <w:rPr>
                                  <w:rtl w:val="0"/>
                                </w:rPr>
                                <w:t xml:space="preserve">stage of the PIPR strategy is designed to help businesses and organisations establish a program of communication for employees returning to work. </w:t>
                              </w:r>
                            </w:p>
                            <w:p>
                              <w:pPr>
                                <w:pStyle w:val="New_Body"/>
                              </w:pPr>
                              <w:r>
                                <w:rPr>
                                  <w:rtl w:val="0"/>
                                </w:rPr>
                                <w:t xml:space="preserve">This stage of the strategy is critical - as for safety and social distancing measures to be effective, everyone within a business must first understand how and why measures are expected to be enforced. </w:t>
                              </w:r>
                            </w:p>
                            <w:p>
                              <w:pPr>
                                <w:pStyle w:val="New_Body"/>
                              </w:pPr>
                              <w:r>
                                <w:rPr>
                                  <w:rtl w:val="0"/>
                                </w:rPr>
                                <w:t xml:space="preserve">Preparing a workforce to return in the current environment is challenging, especially as the guidance and facts relating to coronavirus (COVID-19) are ever-evolving as science learns more about the virus and how to control it. </w:t>
                              </w:r>
                            </w:p>
                            <w:p>
                              <w:pPr>
                                <w:pStyle w:val="New_Body"/>
                              </w:pPr>
                              <w:r>
                                <w:rPr>
                                  <w:rtl w:val="0"/>
                                </w:rPr>
                                <w:t>Topics employers may need to address in communications include (to name just a few):</w:t>
                              </w:r>
                            </w:p>
                            <w:p>
                              <w:pPr>
                                <w:pStyle w:val="Bullets"/>
                                <w:numPr>
                                  <w:ilvl w:val="0"/>
                                  <w:numId w:val="1"/>
                                </w:numPr>
                                <w:spacing w:line="288" w:lineRule="auto"/>
                                <w:rPr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 xml:space="preserve">New workplace safety and social distancing protocols </w:t>
                              </w:r>
                            </w:p>
                            <w:p>
                              <w:pPr>
                                <w:pStyle w:val="Bullets"/>
                                <w:numPr>
                                  <w:ilvl w:val="0"/>
                                  <w:numId w:val="1"/>
                                </w:numPr>
                                <w:spacing w:line="288" w:lineRule="auto"/>
                                <w:rPr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 xml:space="preserve">How employees can travel to work safely </w:t>
                              </w:r>
                            </w:p>
                            <w:p>
                              <w:pPr>
                                <w:pStyle w:val="Bullets"/>
                                <w:numPr>
                                  <w:ilvl w:val="0"/>
                                  <w:numId w:val="1"/>
                                </w:numPr>
                                <w:spacing w:line="288" w:lineRule="auto"/>
                                <w:rPr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 xml:space="preserve">Workstation hygiene requirements </w:t>
                              </w:r>
                            </w:p>
                            <w:p>
                              <w:pPr>
                                <w:pStyle w:val="Bullets"/>
                                <w:numPr>
                                  <w:ilvl w:val="0"/>
                                  <w:numId w:val="1"/>
                                </w:numPr>
                                <w:spacing w:line="288" w:lineRule="auto"/>
                                <w:rPr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 xml:space="preserve">Changes to workplace eating and drinking facilities </w:t>
                              </w:r>
                            </w:p>
                            <w:p>
                              <w:pPr>
                                <w:pStyle w:val="Bullets"/>
                                <w:numPr>
                                  <w:ilvl w:val="0"/>
                                  <w:numId w:val="1"/>
                                </w:numPr>
                                <w:spacing w:line="288" w:lineRule="auto"/>
                                <w:rPr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 xml:space="preserve">Changes to government advice and guidance </w:t>
                              </w:r>
                            </w:p>
                            <w:p>
                              <w:pPr>
                                <w:pStyle w:val="Bullets"/>
                                <w:numPr>
                                  <w:ilvl w:val="0"/>
                                  <w:numId w:val="1"/>
                                </w:numPr>
                                <w:spacing w:after="160" w:line="288" w:lineRule="auto"/>
                                <w:rPr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 xml:space="preserve">If new training is required, as a result of new measures </w:t>
                              </w:r>
                            </w:p>
                            <w:p>
                              <w:pPr>
                                <w:pStyle w:val="Subheading"/>
                              </w:pPr>
                              <w:r>
                                <w:rPr>
                                  <w:rtl w:val="0"/>
                                </w:rPr>
                                <w:t xml:space="preserve">Timing of employee communications </w:t>
                              </w:r>
                            </w:p>
                            <w:p>
                              <w:pPr>
                                <w:pStyle w:val="New_Body"/>
                              </w:pPr>
                              <w:r>
                                <w:rPr>
                                  <w:rtl w:val="0"/>
                                </w:rPr>
                                <w:t xml:space="preserve">As well as considering what needs to be communicated, employers also need to think carefully about the timing of messages. </w:t>
                              </w:r>
                            </w:p>
                            <w:p>
                              <w:pPr>
                                <w:pStyle w:val="New_Body"/>
                              </w:pPr>
                              <w:r>
                                <w:rPr>
                                  <w:rtl w:val="0"/>
                                </w:rPr>
                                <w:t xml:space="preserve">Many businesses and organisations were unable to operate when strict coronavirus (COVID-19) lockdown measures were in place and chose to furlough employees. In these cases, employers should consider that these employees are likely to require </w:t>
                              </w:r>
                              <w:r>
                                <w:rPr>
                                  <w:rtl w:val="0"/>
                                </w:rPr>
                                <w:t>‘</w:t>
                              </w:r>
                              <w:r>
                                <w:rPr>
                                  <w:rtl w:val="0"/>
                                  <w:lang w:val="fr-FR"/>
                                </w:rPr>
                                <w:t>re-engagement</w:t>
                              </w:r>
                              <w:r>
                                <w:rPr>
                                  <w:rtl w:val="0"/>
                                </w:rPr>
                                <w:t xml:space="preserve">’ </w:t>
                              </w:r>
                              <w:r>
                                <w:rPr>
                                  <w:rtl w:val="0"/>
                                </w:rPr>
                                <w:t xml:space="preserve">and may need to be contacted via other channels (i.e. personal email addresses). </w:t>
                              </w:r>
                            </w:p>
                            <w:p>
                              <w:pPr>
                                <w:pStyle w:val="New_Body"/>
                              </w:pPr>
                              <w:r>
                                <w:rPr>
                                  <w:rtl w:val="0"/>
                                </w:rPr>
                                <w:t xml:space="preserve">When creating a communication plan, we propose businesses and organisations consider splitting messages into 3 groups: </w:t>
                              </w:r>
                            </w:p>
                            <w:p>
                              <w:pPr>
                                <w:pStyle w:val="Inset_Sub 1"/>
                              </w:pPr>
                              <w:r>
                                <w:rPr>
                                  <w:rtl w:val="0"/>
                                </w:rPr>
                                <w:t>Preparation messages</w:t>
                              </w:r>
                            </w:p>
                            <w:p>
                              <w:pPr>
                                <w:pStyle w:val="New_Body_Indent"/>
                                <w:spacing w:line="288" w:lineRule="auto"/>
                                <w:rPr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 xml:space="preserve">Messages that employees need to receive before they return to work. This includes the initial </w:t>
                              </w: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>‘</w:t>
                              </w: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>we are reopening/returning</w:t>
                              </w: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 xml:space="preserve">’ </w:t>
                              </w: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 xml:space="preserve">communication, alongside re-engagement messages. </w:t>
                              </w:r>
                            </w:p>
                            <w:p>
                              <w:pPr>
                                <w:pStyle w:val="Inset_Sub 1"/>
                                <w:rPr>
                                  <w:rStyle w:val="None"/>
                                  <w:lang w:val="en-US"/>
                                </w:rPr>
                              </w:pPr>
                              <w:r>
                                <w:rPr>
                                  <w:rStyle w:val="None"/>
                                  <w:rtl w:val="0"/>
                                  <w:lang w:val="en-US"/>
                                </w:rPr>
                                <w:t xml:space="preserve">During messages </w:t>
                              </w:r>
                            </w:p>
                            <w:p>
                              <w:pPr>
                                <w:pStyle w:val="New_Body_Indent"/>
                                <w:spacing w:line="288" w:lineRule="auto"/>
                                <w:rPr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 xml:space="preserve">Messages that employees require as they return to work. This may include messages relating to how to plan their first day or information regarding new training that is required. </w:t>
                              </w:r>
                            </w:p>
                            <w:p>
                              <w:pPr>
                                <w:pStyle w:val="Inset_Sub 1"/>
                                <w:rPr>
                                  <w:rStyle w:val="None"/>
                                  <w:lang w:val="en-US"/>
                                </w:rPr>
                              </w:pPr>
                              <w:r>
                                <w:rPr>
                                  <w:rStyle w:val="None"/>
                                  <w:rtl w:val="0"/>
                                  <w:lang w:val="en-US"/>
                                </w:rPr>
                                <w:t xml:space="preserve">On-going messages </w:t>
                              </w:r>
                            </w:p>
                            <w:p>
                              <w:pPr>
                                <w:pStyle w:val="New_Body_Indent"/>
                                <w:spacing w:line="288" w:lineRule="auto"/>
                                <w:rPr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 xml:space="preserve">Messages that employees need to receive on an on-going basis </w:t>
                              </w: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 xml:space="preserve">– </w:t>
                              </w: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 xml:space="preserve">i.e. reminders about safety measures. In addition to reminders, this group of messages may include how an employer will inform employees of changes to safety protocols in place. </w:t>
                              </w:r>
                            </w:p>
                            <w:p>
                              <w:pPr>
                                <w:pStyle w:val="Subheading"/>
                              </w:pPr>
                              <w:r>
                                <w:rPr>
                                  <w:rtl w:val="0"/>
                                </w:rPr>
                                <w:t xml:space="preserve">Return to work comms plan template </w:t>
                              </w:r>
                            </w:p>
                            <w:p>
                              <w:pPr>
                                <w:pStyle w:val="New_Body"/>
                              </w:pPr>
                              <w:r>
                                <w:rPr>
                                  <w:rtl w:val="0"/>
                                </w:rPr>
                                <w:t xml:space="preserve">To help make the planning of return to work employee messaging easier we have created a free comms template. This template is a simple table, which features columns employers can use to develop employee messaging and considers the following: </w:t>
                              </w:r>
                            </w:p>
                            <w:p>
                              <w:pPr>
                                <w:pStyle w:val="Bullets"/>
                                <w:numPr>
                                  <w:ilvl w:val="0"/>
                                  <w:numId w:val="2"/>
                                </w:numPr>
                                <w:spacing w:line="288" w:lineRule="auto"/>
                                <w:rPr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 xml:space="preserve">Target audiences </w:t>
                              </w:r>
                            </w:p>
                            <w:p>
                              <w:pPr>
                                <w:pStyle w:val="Bullets"/>
                                <w:numPr>
                                  <w:ilvl w:val="0"/>
                                  <w:numId w:val="2"/>
                                </w:numPr>
                                <w:spacing w:line="288" w:lineRule="auto"/>
                                <w:rPr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>Key messages</w:t>
                              </w:r>
                            </w:p>
                            <w:p>
                              <w:pPr>
                                <w:pStyle w:val="Bullets"/>
                                <w:numPr>
                                  <w:ilvl w:val="0"/>
                                  <w:numId w:val="2"/>
                                </w:numPr>
                                <w:spacing w:line="288" w:lineRule="auto"/>
                                <w:rPr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 xml:space="preserve">Objectives </w:t>
                              </w:r>
                            </w:p>
                            <w:p>
                              <w:pPr>
                                <w:pStyle w:val="Bullets"/>
                                <w:numPr>
                                  <w:ilvl w:val="0"/>
                                  <w:numId w:val="2"/>
                                </w:numPr>
                                <w:spacing w:line="288" w:lineRule="auto"/>
                                <w:rPr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 xml:space="preserve">Delivery methods </w:t>
                              </w:r>
                            </w:p>
                            <w:p>
                              <w:pPr>
                                <w:pStyle w:val="Bullets"/>
                                <w:numPr>
                                  <w:ilvl w:val="0"/>
                                  <w:numId w:val="2"/>
                                </w:numPr>
                                <w:spacing w:after="140" w:line="288" w:lineRule="auto"/>
                                <w:rPr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>
                                <w:rPr>
                                  <w:sz w:val="17"/>
                                  <w:szCs w:val="17"/>
                                  <w:rtl w:val="0"/>
                                  <w:lang w:val="en-US"/>
                                </w:rPr>
                                <w:t xml:space="preserve">Timings and status </w:t>
                              </w:r>
                            </w:p>
                            <w:p>
                              <w:pPr>
                                <w:pStyle w:val="New_Body"/>
                              </w:pPr>
                              <w:r>
                                <w:rPr>
                                  <w:rtl w:val="0"/>
                                </w:rPr>
                                <w:t xml:space="preserve">A comms plan is not just a content calendar  </w:t>
                              </w:r>
                              <w:r>
                                <w:rPr>
                                  <w:rtl w:val="0"/>
                                </w:rPr>
                                <w:t xml:space="preserve">– </w:t>
                              </w:r>
                              <w:r>
                                <w:rPr>
                                  <w:rtl w:val="0"/>
                                </w:rPr>
                                <w:t xml:space="preserve">it is a planning sheet, which identifies the key objectives of each message created. This helps to ensure that employee audiences and groups within a business receive the messages they require to implement coronavirus (COVID-19) safety and social distancing measures effectively. </w:t>
                              </w:r>
                            </w:p>
                          </w:txbxContent>
                        </wps:txbx>
                        <wps:bodyPr wrap="square" lIns="0" tIns="0" rIns="0" bIns="0" numCol="3" spcCol="244101" anchor="t">
                          <a:noAutofit/>
                        </wps:bodyPr>
                      </wps:wsp>
                      <wps:wsp>
                        <wps:cNvPr id="1073741829" name="Shape 1073741829"/>
                        <wps:cNvSpPr/>
                        <wps:spPr>
                          <a:xfrm>
                            <a:off x="3335954" y="0"/>
                            <a:ext cx="3091853" cy="4495959"/>
                          </a:xfrm>
                          <a:prstGeom prst="rect">
                            <a:avLst/>
                          </a:prstGeom>
                        </wps:spPr>
                        <wps:linkedTxbx id="1" seq="1"/>
                        <wps:bodyPr wrap="square" lIns="0" tIns="0" rIns="0" bIns="0" numCol="3" spcCol="244101" anchor="t">
                          <a:noAutofit/>
                        </wps:bodyPr>
                      </wps:wsp>
                      <wps:wsp>
                        <wps:cNvPr id="1073741830" name="Shape 1073741830"/>
                        <wps:cNvSpPr/>
                        <wps:spPr>
                          <a:xfrm>
                            <a:off x="6671908" y="0"/>
                            <a:ext cx="3091853" cy="4495959"/>
                          </a:xfrm>
                          <a:prstGeom prst="rect">
                            <a:avLst/>
                          </a:prstGeom>
                        </wps:spPr>
                        <wps:linkedTxbx id="1" seq="2"/>
                        <wps:bodyPr wrap="square" lIns="0" tIns="0" rIns="0" bIns="0" numCol="3" spcCol="24410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37.0pt;margin-top:158.9pt;width:768.8pt;height:354.0pt;z-index:251660288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9763761,4495958">
                <w10:wrap type="none" side="bothSides" anchorx="page" anchory="page"/>
                <v:rect id="_x0000_s1027" style="position:absolute;left:0;top:0;width:9763761;height:4495958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28" style="position:absolute;left:0;top:0;width:3091853;height:4495958;">
                  <v:fill on="f"/>
                  <v:stroke on="f" weight="0.8pt" dashstyle="solid" endcap="flat" joinstyle="round" linestyle="single" startarrow="none" startarrowwidth="medium" startarrowlength="medium" endarrow="none" endarrowwidth="medium" endarrowlength="medium"/>
                  <v:textbox style="mso-next-textbox:#_x0000_s1029;">
                    <w:txbxContent>
                      <w:p>
                        <w:pPr>
                          <w:pStyle w:val="New_Body"/>
                        </w:pPr>
                        <w:r>
                          <w:rPr>
                            <w:rtl w:val="0"/>
                          </w:rPr>
                          <w:t>As coronavirus (COVID-19) lockdown measures ease across the globe, many businesses and organisations are now creating return to work strategies.</w:t>
                        </w:r>
                      </w:p>
                      <w:p>
                        <w:pPr>
                          <w:pStyle w:val="New_Body"/>
                        </w:pPr>
                        <w:r>
                          <w:rPr>
                            <w:rtl w:val="0"/>
                          </w:rPr>
                          <w:t xml:space="preserve">There are many challenges to consider when creating a return to work strategy </w:t>
                        </w:r>
                        <w:r>
                          <w:rPr>
                            <w:rtl w:val="0"/>
                          </w:rPr>
                          <w:t xml:space="preserve">– </w:t>
                        </w:r>
                        <w:r>
                          <w:rPr>
                            <w:rtl w:val="0"/>
                          </w:rPr>
                          <w:t xml:space="preserve">including how to implement safety and social distancing measures, increasing hygiene controls and updating ways of working to prevent the spread of the virus. </w:t>
                        </w:r>
                      </w:p>
                      <w:p>
                        <w:pPr>
                          <w:pStyle w:val="New_Body"/>
                        </w:pPr>
                        <w:r>
                          <w:rPr>
                            <w:rtl w:val="0"/>
                          </w:rPr>
                          <w:t xml:space="preserve">Here at Cardinus, we have chosen to follow the </w:t>
                        </w:r>
                        <w:r>
                          <w:rPr>
                            <w:rStyle w:val="Hyperlink.0"/>
                          </w:rPr>
                          <w:fldChar w:fldCharType="begin" w:fldLock="0"/>
                        </w:r>
                        <w:r>
                          <w:rPr>
                            <w:rStyle w:val="Hyperlink.0"/>
                          </w:rPr>
                          <w:instrText xml:space="preserve"> HYPERLINK "https://www.cardinus.com/insights/covid-19-hs-response/returning-to-work-after-lockdown/"</w:instrText>
                        </w:r>
                        <w:r>
                          <w:rPr>
                            <w:rStyle w:val="Hyperlink.0"/>
                          </w:rPr>
                          <w:fldChar w:fldCharType="separate" w:fldLock="0"/>
                        </w:r>
                        <w:r>
                          <w:rPr>
                            <w:rStyle w:val="Hyperlink.0"/>
                            <w:rtl w:val="0"/>
                          </w:rPr>
                          <w:t>PIPR (Prepare, Inform, Prevent and Recover) strategy</w:t>
                        </w:r>
                        <w:r>
                          <w:rPr/>
                          <w:fldChar w:fldCharType="end" w:fldLock="0"/>
                        </w:r>
                        <w:r>
                          <w:rPr>
                            <w:rtl w:val="0"/>
                          </w:rPr>
                          <w:t xml:space="preserve"> This return to work approach is fully flexible and is designed to split everything which needs to be considered into four easy to manage stages. </w:t>
                        </w:r>
                      </w:p>
                      <w:p>
                        <w:pPr>
                          <w:pStyle w:val="Subheading"/>
                        </w:pPr>
                        <w:r>
                          <w:rPr>
                            <w:rtl w:val="0"/>
                          </w:rPr>
                          <w:t xml:space="preserve">Inform </w:t>
                        </w:r>
                      </w:p>
                      <w:p>
                        <w:pPr>
                          <w:pStyle w:val="New_Body"/>
                        </w:pPr>
                        <w:r>
                          <w:rPr>
                            <w:rtl w:val="0"/>
                          </w:rPr>
                          <w:t xml:space="preserve">The </w:t>
                        </w:r>
                        <w:r>
                          <w:rPr>
                            <w:rtl w:val="0"/>
                          </w:rPr>
                          <w:t>‘</w:t>
                        </w:r>
                        <w:r>
                          <w:rPr>
                            <w:rtl w:val="0"/>
                          </w:rPr>
                          <w:t>inform</w:t>
                        </w:r>
                        <w:r>
                          <w:rPr>
                            <w:rtl w:val="0"/>
                          </w:rPr>
                          <w:t xml:space="preserve">’ </w:t>
                        </w:r>
                        <w:r>
                          <w:rPr>
                            <w:rtl w:val="0"/>
                          </w:rPr>
                          <w:t xml:space="preserve">stage of the PIPR strategy is designed to help businesses and organisations establish a program of communication for employees returning to work. </w:t>
                        </w:r>
                      </w:p>
                      <w:p>
                        <w:pPr>
                          <w:pStyle w:val="New_Body"/>
                        </w:pPr>
                        <w:r>
                          <w:rPr>
                            <w:rtl w:val="0"/>
                          </w:rPr>
                          <w:t xml:space="preserve">This stage of the strategy is critical - as for safety and social distancing measures to be effective, everyone within a business must first understand how and why measures are expected to be enforced. </w:t>
                        </w:r>
                      </w:p>
                      <w:p>
                        <w:pPr>
                          <w:pStyle w:val="New_Body"/>
                        </w:pPr>
                        <w:r>
                          <w:rPr>
                            <w:rtl w:val="0"/>
                          </w:rPr>
                          <w:t xml:space="preserve">Preparing a workforce to return in the current environment is challenging, especially as the guidance and facts relating to coronavirus (COVID-19) are ever-evolving as science learns more about the virus and how to control it. </w:t>
                        </w:r>
                      </w:p>
                      <w:p>
                        <w:pPr>
                          <w:pStyle w:val="New_Body"/>
                        </w:pPr>
                        <w:r>
                          <w:rPr>
                            <w:rtl w:val="0"/>
                          </w:rPr>
                          <w:t>Topics employers may need to address in communications include (to name just a few):</w:t>
                        </w:r>
                      </w:p>
                      <w:p>
                        <w:pPr>
                          <w:pStyle w:val="Bullets"/>
                          <w:numPr>
                            <w:ilvl w:val="0"/>
                            <w:numId w:val="1"/>
                          </w:numPr>
                          <w:spacing w:line="288" w:lineRule="auto"/>
                          <w:rPr>
                            <w:sz w:val="17"/>
                            <w:szCs w:val="17"/>
                            <w:lang w:val="en-US"/>
                          </w:rPr>
                        </w:pP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 xml:space="preserve">New workplace safety and social distancing protocols </w:t>
                        </w:r>
                      </w:p>
                      <w:p>
                        <w:pPr>
                          <w:pStyle w:val="Bullets"/>
                          <w:numPr>
                            <w:ilvl w:val="0"/>
                            <w:numId w:val="1"/>
                          </w:numPr>
                          <w:spacing w:line="288" w:lineRule="auto"/>
                          <w:rPr>
                            <w:sz w:val="17"/>
                            <w:szCs w:val="17"/>
                            <w:lang w:val="en-US"/>
                          </w:rPr>
                        </w:pP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 xml:space="preserve">How employees can travel to work safely </w:t>
                        </w:r>
                      </w:p>
                      <w:p>
                        <w:pPr>
                          <w:pStyle w:val="Bullets"/>
                          <w:numPr>
                            <w:ilvl w:val="0"/>
                            <w:numId w:val="1"/>
                          </w:numPr>
                          <w:spacing w:line="288" w:lineRule="auto"/>
                          <w:rPr>
                            <w:sz w:val="17"/>
                            <w:szCs w:val="17"/>
                            <w:lang w:val="en-US"/>
                          </w:rPr>
                        </w:pP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 xml:space="preserve">Workstation hygiene requirements </w:t>
                        </w:r>
                      </w:p>
                      <w:p>
                        <w:pPr>
                          <w:pStyle w:val="Bullets"/>
                          <w:numPr>
                            <w:ilvl w:val="0"/>
                            <w:numId w:val="1"/>
                          </w:numPr>
                          <w:spacing w:line="288" w:lineRule="auto"/>
                          <w:rPr>
                            <w:sz w:val="17"/>
                            <w:szCs w:val="17"/>
                            <w:lang w:val="en-US"/>
                          </w:rPr>
                        </w:pP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 xml:space="preserve">Changes to workplace eating and drinking facilities </w:t>
                        </w:r>
                      </w:p>
                      <w:p>
                        <w:pPr>
                          <w:pStyle w:val="Bullets"/>
                          <w:numPr>
                            <w:ilvl w:val="0"/>
                            <w:numId w:val="1"/>
                          </w:numPr>
                          <w:spacing w:line="288" w:lineRule="auto"/>
                          <w:rPr>
                            <w:sz w:val="17"/>
                            <w:szCs w:val="17"/>
                            <w:lang w:val="en-US"/>
                          </w:rPr>
                        </w:pP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 xml:space="preserve">Changes to government advice and guidance </w:t>
                        </w:r>
                      </w:p>
                      <w:p>
                        <w:pPr>
                          <w:pStyle w:val="Bullets"/>
                          <w:numPr>
                            <w:ilvl w:val="0"/>
                            <w:numId w:val="1"/>
                          </w:numPr>
                          <w:spacing w:after="160" w:line="288" w:lineRule="auto"/>
                          <w:rPr>
                            <w:sz w:val="17"/>
                            <w:szCs w:val="17"/>
                            <w:lang w:val="en-US"/>
                          </w:rPr>
                        </w:pP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 xml:space="preserve">If new training is required, as a result of new measures </w:t>
                        </w:r>
                      </w:p>
                      <w:p>
                        <w:pPr>
                          <w:pStyle w:val="Subheading"/>
                        </w:pPr>
                        <w:r>
                          <w:rPr>
                            <w:rtl w:val="0"/>
                          </w:rPr>
                          <w:t xml:space="preserve">Timing of employee communications </w:t>
                        </w:r>
                      </w:p>
                      <w:p>
                        <w:pPr>
                          <w:pStyle w:val="New_Body"/>
                        </w:pPr>
                        <w:r>
                          <w:rPr>
                            <w:rtl w:val="0"/>
                          </w:rPr>
                          <w:t xml:space="preserve">As well as considering what needs to be communicated, employers also need to think carefully about the timing of messages. </w:t>
                        </w:r>
                      </w:p>
                      <w:p>
                        <w:pPr>
                          <w:pStyle w:val="New_Body"/>
                        </w:pPr>
                        <w:r>
                          <w:rPr>
                            <w:rtl w:val="0"/>
                          </w:rPr>
                          <w:t xml:space="preserve">Many businesses and organisations were unable to operate when strict coronavirus (COVID-19) lockdown measures were in place and chose to furlough employees. In these cases, employers should consider that these employees are likely to require </w:t>
                        </w:r>
                        <w:r>
                          <w:rPr>
                            <w:rtl w:val="0"/>
                          </w:rPr>
                          <w:t>‘</w:t>
                        </w:r>
                        <w:r>
                          <w:rPr>
                            <w:rtl w:val="0"/>
                            <w:lang w:val="fr-FR"/>
                          </w:rPr>
                          <w:t>re-engagement</w:t>
                        </w:r>
                        <w:r>
                          <w:rPr>
                            <w:rtl w:val="0"/>
                          </w:rPr>
                          <w:t xml:space="preserve">’ </w:t>
                        </w:r>
                        <w:r>
                          <w:rPr>
                            <w:rtl w:val="0"/>
                          </w:rPr>
                          <w:t xml:space="preserve">and may need to be contacted via other channels (i.e. personal email addresses). </w:t>
                        </w:r>
                      </w:p>
                      <w:p>
                        <w:pPr>
                          <w:pStyle w:val="New_Body"/>
                        </w:pPr>
                        <w:r>
                          <w:rPr>
                            <w:rtl w:val="0"/>
                          </w:rPr>
                          <w:t xml:space="preserve">When creating a communication plan, we propose businesses and organisations consider splitting messages into 3 groups: </w:t>
                        </w:r>
                      </w:p>
                      <w:p>
                        <w:pPr>
                          <w:pStyle w:val="Inset_Sub 1"/>
                        </w:pPr>
                        <w:r>
                          <w:rPr>
                            <w:rtl w:val="0"/>
                          </w:rPr>
                          <w:t>Preparation messages</w:t>
                        </w:r>
                      </w:p>
                      <w:p>
                        <w:pPr>
                          <w:pStyle w:val="New_Body_Indent"/>
                          <w:spacing w:line="288" w:lineRule="auto"/>
                          <w:rPr>
                            <w:sz w:val="17"/>
                            <w:szCs w:val="17"/>
                          </w:rPr>
                        </w:pP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 xml:space="preserve">Messages that employees need to receive before they return to work. This includes the initial </w:t>
                        </w: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>‘</w:t>
                        </w: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>we are reopening/returning</w:t>
                        </w: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 xml:space="preserve">’ </w:t>
                        </w: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 xml:space="preserve">communication, alongside re-engagement messages. </w:t>
                        </w:r>
                      </w:p>
                      <w:p>
                        <w:pPr>
                          <w:pStyle w:val="Inset_Sub 1"/>
                          <w:rPr>
                            <w:rStyle w:val="None"/>
                            <w:lang w:val="en-US"/>
                          </w:rPr>
                        </w:pPr>
                        <w:r>
                          <w:rPr>
                            <w:rStyle w:val="None"/>
                            <w:rtl w:val="0"/>
                            <w:lang w:val="en-US"/>
                          </w:rPr>
                          <w:t xml:space="preserve">During messages </w:t>
                        </w:r>
                      </w:p>
                      <w:p>
                        <w:pPr>
                          <w:pStyle w:val="New_Body_Indent"/>
                          <w:spacing w:line="288" w:lineRule="auto"/>
                          <w:rPr>
                            <w:sz w:val="17"/>
                            <w:szCs w:val="17"/>
                          </w:rPr>
                        </w:pP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 xml:space="preserve">Messages that employees require as they return to work. This may include messages relating to how to plan their first day or information regarding new training that is required. </w:t>
                        </w:r>
                      </w:p>
                      <w:p>
                        <w:pPr>
                          <w:pStyle w:val="Inset_Sub 1"/>
                          <w:rPr>
                            <w:rStyle w:val="None"/>
                            <w:lang w:val="en-US"/>
                          </w:rPr>
                        </w:pPr>
                        <w:r>
                          <w:rPr>
                            <w:rStyle w:val="None"/>
                            <w:rtl w:val="0"/>
                            <w:lang w:val="en-US"/>
                          </w:rPr>
                          <w:t xml:space="preserve">On-going messages </w:t>
                        </w:r>
                      </w:p>
                      <w:p>
                        <w:pPr>
                          <w:pStyle w:val="New_Body_Indent"/>
                          <w:spacing w:line="288" w:lineRule="auto"/>
                          <w:rPr>
                            <w:sz w:val="17"/>
                            <w:szCs w:val="17"/>
                          </w:rPr>
                        </w:pP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 xml:space="preserve">Messages that employees need to receive on an on-going basis </w:t>
                        </w: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 xml:space="preserve">– </w:t>
                        </w: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 xml:space="preserve">i.e. reminders about safety measures. In addition to reminders, this group of messages may include how an employer will inform employees of changes to safety protocols in place. </w:t>
                        </w:r>
                      </w:p>
                      <w:p>
                        <w:pPr>
                          <w:pStyle w:val="Subheading"/>
                        </w:pPr>
                        <w:r>
                          <w:rPr>
                            <w:rtl w:val="0"/>
                          </w:rPr>
                          <w:t xml:space="preserve">Return to work comms plan template </w:t>
                        </w:r>
                      </w:p>
                      <w:p>
                        <w:pPr>
                          <w:pStyle w:val="New_Body"/>
                        </w:pPr>
                        <w:r>
                          <w:rPr>
                            <w:rtl w:val="0"/>
                          </w:rPr>
                          <w:t xml:space="preserve">To help make the planning of return to work employee messaging easier we have created a free comms template. This template is a simple table, which features columns employers can use to develop employee messaging and considers the following: </w:t>
                        </w:r>
                      </w:p>
                      <w:p>
                        <w:pPr>
                          <w:pStyle w:val="Bullets"/>
                          <w:numPr>
                            <w:ilvl w:val="0"/>
                            <w:numId w:val="2"/>
                          </w:numPr>
                          <w:spacing w:line="288" w:lineRule="auto"/>
                          <w:rPr>
                            <w:sz w:val="17"/>
                            <w:szCs w:val="17"/>
                            <w:lang w:val="en-US"/>
                          </w:rPr>
                        </w:pP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 xml:space="preserve">Target audiences </w:t>
                        </w:r>
                      </w:p>
                      <w:p>
                        <w:pPr>
                          <w:pStyle w:val="Bullets"/>
                          <w:numPr>
                            <w:ilvl w:val="0"/>
                            <w:numId w:val="2"/>
                          </w:numPr>
                          <w:spacing w:line="288" w:lineRule="auto"/>
                          <w:rPr>
                            <w:sz w:val="17"/>
                            <w:szCs w:val="17"/>
                            <w:lang w:val="en-US"/>
                          </w:rPr>
                        </w:pP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>Key messages</w:t>
                        </w:r>
                      </w:p>
                      <w:p>
                        <w:pPr>
                          <w:pStyle w:val="Bullets"/>
                          <w:numPr>
                            <w:ilvl w:val="0"/>
                            <w:numId w:val="2"/>
                          </w:numPr>
                          <w:spacing w:line="288" w:lineRule="auto"/>
                          <w:rPr>
                            <w:sz w:val="17"/>
                            <w:szCs w:val="17"/>
                            <w:lang w:val="en-US"/>
                          </w:rPr>
                        </w:pP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 xml:space="preserve">Objectives </w:t>
                        </w:r>
                      </w:p>
                      <w:p>
                        <w:pPr>
                          <w:pStyle w:val="Bullets"/>
                          <w:numPr>
                            <w:ilvl w:val="0"/>
                            <w:numId w:val="2"/>
                          </w:numPr>
                          <w:spacing w:line="288" w:lineRule="auto"/>
                          <w:rPr>
                            <w:sz w:val="17"/>
                            <w:szCs w:val="17"/>
                            <w:lang w:val="en-US"/>
                          </w:rPr>
                        </w:pP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 xml:space="preserve">Delivery methods </w:t>
                        </w:r>
                      </w:p>
                      <w:p>
                        <w:pPr>
                          <w:pStyle w:val="Bullets"/>
                          <w:numPr>
                            <w:ilvl w:val="0"/>
                            <w:numId w:val="2"/>
                          </w:numPr>
                          <w:spacing w:after="140" w:line="288" w:lineRule="auto"/>
                          <w:rPr>
                            <w:sz w:val="17"/>
                            <w:szCs w:val="17"/>
                            <w:lang w:val="en-US"/>
                          </w:rPr>
                        </w:pPr>
                        <w:r>
                          <w:rPr>
                            <w:sz w:val="17"/>
                            <w:szCs w:val="17"/>
                            <w:rtl w:val="0"/>
                            <w:lang w:val="en-US"/>
                          </w:rPr>
                          <w:t xml:space="preserve">Timings and status </w:t>
                        </w:r>
                      </w:p>
                      <w:p>
                        <w:pPr>
                          <w:pStyle w:val="New_Body"/>
                        </w:pPr>
                        <w:r>
                          <w:rPr>
                            <w:rtl w:val="0"/>
                          </w:rPr>
                          <w:t xml:space="preserve">A comms plan is not just a content calendar  </w:t>
                        </w:r>
                        <w:r>
                          <w:rPr>
                            <w:rtl w:val="0"/>
                          </w:rPr>
                          <w:t xml:space="preserve">– </w:t>
                        </w:r>
                        <w:r>
                          <w:rPr>
                            <w:rtl w:val="0"/>
                          </w:rPr>
                          <w:t xml:space="preserve">it is a planning sheet, which identifies the key objectives of each message created. This helps to ensure that employee audiences and groups within a business receive the messages they require to implement coronavirus (COVID-19) safety and social distancing measures effectively. </w:t>
                        </w:r>
                      </w:p>
                    </w:txbxContent>
                  </v:textbox>
                </v:rect>
                <v:rect id="_x0000_s1029" style="position:absolute;left:3335954;top:0;width:3091853;height:4495958;">
                  <v:fill on="f"/>
                  <v:stroke on="f" weight="0.8pt" dashstyle="solid" endcap="flat" joinstyle="round" linestyle="single" startarrow="none" startarrowwidth="medium" startarrowlength="medium" endarrow="none" endarrowwidth="medium" endarrowlength="medium"/>
                  <v:textbox style="mso-next-textbox:#_x0000_s1030;">
                    <w:txbxContent/>
                  </v:textbox>
                </v:rect>
                <v:rect id="_x0000_s1030" style="position:absolute;left:6671908;top:0;width:3091853;height:4495958;">
                  <v:fill on="f"/>
                  <v:stroke on="f" weight="0.8pt" dashstyle="solid" endcap="flat" joinstyle="round" linestyle="single" startarrow="none" startarrowwidth="medium" startarrowlength="medium" endarrow="none" endarrowwidth="medium" endarrowlength="medium"/>
                  <v:textbox>
                    <w:txbxContent/>
                  </v:textbox>
                </v:rect>
              </v:group>
            </w:pict>
          </mc:Fallback>
        </mc:AlternateConten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3400" cy="7556500"/>
            <wp:effectExtent l="0" t="0" r="0" b="0"/>
            <wp:wrapTopAndBottom distT="152400" distB="152400"/>
            <wp:docPr id="1073741831" name="officeArt object" descr="Comms-Template-Table-BG_BP_V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Comms-Template-Table-BG_BP_V2.jpg" descr="Comms-Template-Table-BG_BP_V2.jp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3400" cy="7556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497522</wp:posOffset>
                </wp:positionH>
                <wp:positionV relativeFrom="page">
                  <wp:posOffset>1202117</wp:posOffset>
                </wp:positionV>
                <wp:extent cx="9704705" cy="4762376"/>
                <wp:effectExtent l="0" t="0" r="0" b="0"/>
                <wp:wrapTopAndBottom distT="0" distB="0"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4705" cy="476237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5272" w:type="dxa"/>
                              <w:tblInd w:w="5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adce8"/>
                              <w:tblLayout w:type="fixed"/>
                            </w:tblPr>
                            <w:tblGrid>
                              <w:gridCol w:w="1910"/>
                              <w:gridCol w:w="1909"/>
                              <w:gridCol w:w="1909"/>
                              <w:gridCol w:w="1909"/>
                              <w:gridCol w:w="1909"/>
                              <w:gridCol w:w="1909"/>
                              <w:gridCol w:w="1908"/>
                              <w:gridCol w:w="1909"/>
                            </w:tblGrid>
                            <w:tr>
                              <w:tblPrEx>
                                <w:shd w:val="clear" w:color="auto" w:fill="cadce8"/>
                              </w:tblPrEx>
                              <w:trPr>
                                <w:trHeight w:val="282" w:hRule="atLeast"/>
                              </w:trPr>
                              <w:tc>
                                <w:tcPr>
                                  <w:tcW w:type="dxa" w:w="7637"/>
                                  <w:gridSpan w:val="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6 A"/>
                                  </w:pPr>
                                  <w:r>
                                    <w:rPr>
                                      <w:rStyle w:val="None"/>
                                      <w:b w:val="1"/>
                                      <w:bCs w:val="1"/>
                                      <w:outline w:val="0"/>
                                      <w:color w:val="b03d48"/>
                                      <w:sz w:val="22"/>
                                      <w:szCs w:val="22"/>
                                      <w:u w:color="000000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B03D48"/>
                                        </w14:solidFill>
                                      </w14:textFill>
                                    </w:rPr>
                                    <w:t>Department</w:t>
                                  </w:r>
                                </w:p>
                              </w:tc>
                              <w:tc>
                                <w:tcPr>
                                  <w:tcW w:type="dxa" w:w="7635"/>
                                  <w:gridSpan w:val="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ce8"/>
                              </w:tblPrEx>
                              <w:trPr>
                                <w:trHeight w:val="269" w:hRule="atLeast"/>
                              </w:trPr>
                              <w:tc>
                                <w:tcPr>
                                  <w:tcW w:type="dxa" w:w="7637"/>
                                  <w:gridSpan w:val="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ubheading"/>
                                  </w:pPr>
                                  <w:r>
                                    <w:rPr>
                                      <w:rStyle w:val="None"/>
                                      <w:sz w:val="22"/>
                                      <w:szCs w:val="22"/>
                                      <w:rtl w:val="0"/>
                                      <w:lang w:val="en-US"/>
                                    </w:rPr>
                                    <w:t xml:space="preserve">Communication lead: </w:t>
                                  </w:r>
                                </w:p>
                              </w:tc>
                              <w:tc>
                                <w:tcPr>
                                  <w:tcW w:type="dxa" w:w="7635"/>
                                  <w:gridSpan w:val="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ubheading"/>
                                  </w:pPr>
                                  <w:r>
                                    <w:rPr>
                                      <w:rStyle w:val="None"/>
                                      <w:sz w:val="22"/>
                                      <w:szCs w:val="22"/>
                                      <w:rtl w:val="0"/>
                                      <w:lang w:val="en-US"/>
                                    </w:rPr>
                                    <w:t>Communication stage: Preparation / During / On-going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dce8"/>
                              </w:tblPrEx>
                              <w:trPr>
                                <w:trHeight w:val="358" w:hRule="atLeast"/>
                              </w:trPr>
                              <w:tc>
                                <w:tcPr>
                                  <w:tcW w:type="dxa" w:w="191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Target Audience</w:t>
                                  </w:r>
                                </w:p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Objective</w:t>
                                  </w:r>
                                </w:p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Message</w:t>
                                  </w:r>
                                </w:p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Format</w:t>
                                  </w:r>
                                </w:p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Channel(s)</w:t>
                                  </w:r>
                                </w:p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Timings</w:t>
                                  </w:r>
                                </w:p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Status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dce8"/>
                              </w:tblPrEx>
                              <w:trPr>
                                <w:trHeight w:val="1002" w:hRule="atLeast"/>
                              </w:trPr>
                              <w:tc>
                                <w:tcPr>
                                  <w:tcW w:type="dxa" w:w="191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b03d48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outline w:val="0"/>
                                      <w:color w:val="ffffff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6</w:t>
                                  </w:r>
                                  <w:r>
                                    <w:rPr>
                                      <w:rStyle w:val="None"/>
                                      <w:outline w:val="0"/>
                                      <w:color w:val="ffffff"/>
                                      <w:sz w:val="20"/>
                                      <w:szCs w:val="20"/>
                                      <w:vertAlign w:val="superscript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th</w:t>
                                  </w:r>
                                  <w:r>
                                    <w:rPr>
                                      <w:outline w:val="0"/>
                                      <w:color w:val="ffffff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 </w:t>
                                  </w:r>
                                  <w:r>
                                    <w:rPr>
                                      <w:outline w:val="0"/>
                                      <w:color w:val="ffffff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July, 2020</w:t>
                                  </w:r>
                                </w:p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b03d48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rFonts w:ascii="Arial" w:hAnsi="Arial"/>
                                      <w:outline w:val="0"/>
                                      <w:color w:val="ffffff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Returning employees</w:t>
                                  </w:r>
                                </w:p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b03d48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rFonts w:ascii="Arial" w:hAnsi="Arial"/>
                                      <w:outline w:val="0"/>
                                      <w:color w:val="ffffff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To help staff travel safely</w:t>
                                  </w:r>
                                </w:p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b03d48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rFonts w:ascii="Arial" w:hAnsi="Arial"/>
                                      <w:outline w:val="0"/>
                                      <w:color w:val="ffffff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Guidance on using public transport when travelling to work.</w:t>
                                  </w:r>
                                </w:p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b03d48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rFonts w:ascii="Arial" w:hAnsi="Arial"/>
                                      <w:outline w:val="0"/>
                                      <w:color w:val="ffffff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Video, text</w:t>
                                  </w:r>
                                </w:p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b03d48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rFonts w:ascii="Arial" w:hAnsi="Arial"/>
                                      <w:outline w:val="0"/>
                                      <w:color w:val="ffffff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Email and Intranet</w:t>
                                  </w:r>
                                </w:p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b03d48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outline w:val="0"/>
                                      <w:color w:val="ffffff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8</w:t>
                                  </w:r>
                                  <w:r>
                                    <w:rPr>
                                      <w:rStyle w:val="None"/>
                                      <w:outline w:val="0"/>
                                      <w:color w:val="ffffff"/>
                                      <w:sz w:val="20"/>
                                      <w:szCs w:val="20"/>
                                      <w:vertAlign w:val="superscript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th</w:t>
                                  </w:r>
                                  <w:r>
                                    <w:rPr>
                                      <w:outline w:val="0"/>
                                      <w:color w:val="ffffff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 </w:t>
                                  </w:r>
                                  <w:r>
                                    <w:rPr>
                                      <w:outline w:val="0"/>
                                      <w:color w:val="ffffff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July, 2020,</w:t>
                                  </w:r>
                                  <w:r>
                                    <w:rPr>
                                      <w:outline w:val="0"/>
                                      <w:color w:val="ffffff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outline w:val="0"/>
                                      <w:color w:val="ffffff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13</w:t>
                                  </w:r>
                                  <w:r>
                                    <w:rPr>
                                      <w:rStyle w:val="None"/>
                                      <w:outline w:val="0"/>
                                      <w:color w:val="ffffff"/>
                                      <w:sz w:val="20"/>
                                      <w:szCs w:val="20"/>
                                      <w:vertAlign w:val="superscript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th</w:t>
                                  </w:r>
                                  <w:r>
                                    <w:rPr>
                                      <w:outline w:val="0"/>
                                      <w:color w:val="ffffff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 </w:t>
                                  </w:r>
                                  <w:r>
                                    <w:rPr>
                                      <w:outline w:val="0"/>
                                      <w:color w:val="ffffff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July 2020, 20</w:t>
                                  </w:r>
                                  <w:r>
                                    <w:rPr>
                                      <w:rStyle w:val="None"/>
                                      <w:outline w:val="0"/>
                                      <w:color w:val="ffffff"/>
                                      <w:sz w:val="20"/>
                                      <w:szCs w:val="20"/>
                                      <w:vertAlign w:val="superscript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th</w:t>
                                  </w:r>
                                  <w:r>
                                    <w:rPr>
                                      <w:outline w:val="0"/>
                                      <w:color w:val="ffffff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 </w:t>
                                  </w:r>
                                  <w:r>
                                    <w:rPr>
                                      <w:outline w:val="0"/>
                                      <w:color w:val="ffffff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July 2020</w:t>
                                  </w:r>
                                </w:p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b03d48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ew_Body"/>
                                  </w:pPr>
                                  <w:r>
                                    <w:rPr>
                                      <w:rFonts w:ascii="Arial" w:hAnsi="Arial"/>
                                      <w:outline w:val="0"/>
                                      <w:color w:val="ffffff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In-progress 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dce8"/>
                              </w:tblPrEx>
                              <w:trPr>
                                <w:trHeight w:val="1004" w:hRule="atLeast"/>
                              </w:trPr>
                              <w:tc>
                                <w:tcPr>
                                  <w:tcW w:type="dxa" w:w="191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ce8"/>
                              </w:tblPrEx>
                              <w:trPr>
                                <w:trHeight w:val="1004" w:hRule="atLeast"/>
                              </w:trPr>
                              <w:tc>
                                <w:tcPr>
                                  <w:tcW w:type="dxa" w:w="191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ce8"/>
                              </w:tblPrEx>
                              <w:trPr>
                                <w:trHeight w:val="1004" w:hRule="atLeast"/>
                              </w:trPr>
                              <w:tc>
                                <w:tcPr>
                                  <w:tcW w:type="dxa" w:w="191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ce8"/>
                              </w:tblPrEx>
                              <w:trPr>
                                <w:trHeight w:val="1004" w:hRule="atLeast"/>
                              </w:trPr>
                              <w:tc>
                                <w:tcPr>
                                  <w:tcW w:type="dxa" w:w="191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eeee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39.2pt;margin-top:94.7pt;width:764.1pt;height:375.0pt;z-index:251662336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15272" w:type="dxa"/>
                        <w:tblInd w:w="5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adce8"/>
                        <w:tblLayout w:type="fixed"/>
                      </w:tblPr>
                      <w:tblGrid>
                        <w:gridCol w:w="1910"/>
                        <w:gridCol w:w="1909"/>
                        <w:gridCol w:w="1909"/>
                        <w:gridCol w:w="1909"/>
                        <w:gridCol w:w="1909"/>
                        <w:gridCol w:w="1909"/>
                        <w:gridCol w:w="1908"/>
                        <w:gridCol w:w="1909"/>
                      </w:tblGrid>
                      <w:tr>
                        <w:tblPrEx>
                          <w:shd w:val="clear" w:color="auto" w:fill="cadce8"/>
                        </w:tblPrEx>
                        <w:trPr>
                          <w:trHeight w:val="282" w:hRule="atLeast"/>
                        </w:trPr>
                        <w:tc>
                          <w:tcPr>
                            <w:tcW w:type="dxa" w:w="7637"/>
                            <w:gridSpan w:val="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6 A"/>
                            </w:pPr>
                            <w:r>
                              <w:rPr>
                                <w:rStyle w:val="None"/>
                                <w:b w:val="1"/>
                                <w:bCs w:val="1"/>
                                <w:outline w:val="0"/>
                                <w:color w:val="b03d48"/>
                                <w:sz w:val="22"/>
                                <w:szCs w:val="22"/>
                                <w:u w:color="000000"/>
                                <w:rtl w:val="0"/>
                                <w:lang w:val="en-US"/>
                                <w14:textFill>
                                  <w14:solidFill>
                                    <w14:srgbClr w14:val="B03D48"/>
                                  </w14:solidFill>
                                </w14:textFill>
                              </w:rPr>
                              <w:t>Department</w:t>
                            </w:r>
                          </w:p>
                        </w:tc>
                        <w:tc>
                          <w:tcPr>
                            <w:tcW w:type="dxa" w:w="7635"/>
                            <w:gridSpan w:val="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adce8"/>
                        </w:tblPrEx>
                        <w:trPr>
                          <w:trHeight w:val="269" w:hRule="atLeast"/>
                        </w:trPr>
                        <w:tc>
                          <w:tcPr>
                            <w:tcW w:type="dxa" w:w="7637"/>
                            <w:gridSpan w:val="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ubheading"/>
                            </w:pPr>
                            <w:r>
                              <w:rPr>
                                <w:rStyle w:val="None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 xml:space="preserve">Communication lead: </w:t>
                            </w:r>
                          </w:p>
                        </w:tc>
                        <w:tc>
                          <w:tcPr>
                            <w:tcW w:type="dxa" w:w="7635"/>
                            <w:gridSpan w:val="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ubheading"/>
                            </w:pPr>
                            <w:r>
                              <w:rPr>
                                <w:rStyle w:val="None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>Communication stage: Preparation / During / On-going</w:t>
                            </w:r>
                          </w:p>
                        </w:tc>
                      </w:tr>
                      <w:tr>
                        <w:tblPrEx>
                          <w:shd w:val="clear" w:color="auto" w:fill="cadce8"/>
                        </w:tblPrEx>
                        <w:trPr>
                          <w:trHeight w:val="358" w:hRule="atLeast"/>
                        </w:trPr>
                        <w:tc>
                          <w:tcPr>
                            <w:tcW w:type="dxa" w:w="191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Target Audience</w:t>
                            </w:r>
                          </w:p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Objective</w:t>
                            </w:r>
                          </w:p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Message</w:t>
                            </w:r>
                          </w:p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Format</w:t>
                            </w:r>
                          </w:p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Channel(s)</w:t>
                            </w:r>
                          </w:p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Timings</w:t>
                            </w:r>
                          </w:p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Status</w:t>
                            </w:r>
                          </w:p>
                        </w:tc>
                      </w:tr>
                      <w:tr>
                        <w:tblPrEx>
                          <w:shd w:val="clear" w:color="auto" w:fill="cadce8"/>
                        </w:tblPrEx>
                        <w:trPr>
                          <w:trHeight w:val="1002" w:hRule="atLeast"/>
                        </w:trPr>
                        <w:tc>
                          <w:tcPr>
                            <w:tcW w:type="dxa" w:w="191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b03d48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outline w:val="0"/>
                                <w:color w:val="ffffff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Style w:val="None"/>
                                <w:outline w:val="0"/>
                                <w:color w:val="ffffff"/>
                                <w:sz w:val="20"/>
                                <w:szCs w:val="20"/>
                                <w:vertAlign w:val="superscript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th</w:t>
                            </w:r>
                            <w:r>
                              <w:rPr>
                                <w:outline w:val="0"/>
                                <w:color w:val="ffffff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 </w:t>
                            </w:r>
                            <w:r>
                              <w:rPr>
                                <w:outline w:val="0"/>
                                <w:color w:val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July, 2020</w:t>
                            </w:r>
                          </w:p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b03d48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ffffff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Returning employees</w:t>
                            </w:r>
                          </w:p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b03d48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ffffff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To help staff travel safely</w:t>
                            </w:r>
                          </w:p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b03d48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ffffff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Guidance on using public transport when travelling to work.</w:t>
                            </w:r>
                          </w:p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b03d48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ffffff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Video, text</w:t>
                            </w:r>
                          </w:p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b03d48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ffffff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Email and Intranet</w:t>
                            </w:r>
                          </w:p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b03d48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outline w:val="0"/>
                                <w:color w:val="ffffff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8</w:t>
                            </w:r>
                            <w:r>
                              <w:rPr>
                                <w:rStyle w:val="None"/>
                                <w:outline w:val="0"/>
                                <w:color w:val="ffffff"/>
                                <w:sz w:val="20"/>
                                <w:szCs w:val="20"/>
                                <w:vertAlign w:val="superscript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th</w:t>
                            </w:r>
                            <w:r>
                              <w:rPr>
                                <w:outline w:val="0"/>
                                <w:color w:val="ffffff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 </w:t>
                            </w:r>
                            <w:r>
                              <w:rPr>
                                <w:outline w:val="0"/>
                                <w:color w:val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July, 2020,</w:t>
                            </w:r>
                            <w:r>
                              <w:rPr>
                                <w:outline w:val="0"/>
                                <w:color w:val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outline w:val="0"/>
                                <w:color w:val="ffffff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13</w:t>
                            </w:r>
                            <w:r>
                              <w:rPr>
                                <w:rStyle w:val="None"/>
                                <w:outline w:val="0"/>
                                <w:color w:val="ffffff"/>
                                <w:sz w:val="20"/>
                                <w:szCs w:val="20"/>
                                <w:vertAlign w:val="superscript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th</w:t>
                            </w:r>
                            <w:r>
                              <w:rPr>
                                <w:outline w:val="0"/>
                                <w:color w:val="ffffff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 </w:t>
                            </w:r>
                            <w:r>
                              <w:rPr>
                                <w:outline w:val="0"/>
                                <w:color w:val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July 2020, 20</w:t>
                            </w:r>
                            <w:r>
                              <w:rPr>
                                <w:rStyle w:val="None"/>
                                <w:outline w:val="0"/>
                                <w:color w:val="ffffff"/>
                                <w:sz w:val="20"/>
                                <w:szCs w:val="20"/>
                                <w:vertAlign w:val="superscript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th</w:t>
                            </w:r>
                            <w:r>
                              <w:rPr>
                                <w:outline w:val="0"/>
                                <w:color w:val="ffffff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 </w:t>
                            </w:r>
                            <w:r>
                              <w:rPr>
                                <w:outline w:val="0"/>
                                <w:color w:val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July 2020</w:t>
                            </w:r>
                          </w:p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b03d48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ew_Body"/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ffffff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In-progress </w:t>
                            </w:r>
                          </w:p>
                        </w:tc>
                      </w:tr>
                      <w:tr>
                        <w:tblPrEx>
                          <w:shd w:val="clear" w:color="auto" w:fill="cadce8"/>
                        </w:tblPrEx>
                        <w:trPr>
                          <w:trHeight w:val="1004" w:hRule="atLeast"/>
                        </w:trPr>
                        <w:tc>
                          <w:tcPr>
                            <w:tcW w:type="dxa" w:w="191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ce8"/>
                        </w:tblPrEx>
                        <w:trPr>
                          <w:trHeight w:val="1004" w:hRule="atLeast"/>
                        </w:trPr>
                        <w:tc>
                          <w:tcPr>
                            <w:tcW w:type="dxa" w:w="191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ce8"/>
                        </w:tblPrEx>
                        <w:trPr>
                          <w:trHeight w:val="1004" w:hRule="atLeast"/>
                        </w:trPr>
                        <w:tc>
                          <w:tcPr>
                            <w:tcW w:type="dxa" w:w="191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ce8"/>
                        </w:tblPrEx>
                        <w:trPr>
                          <w:trHeight w:val="1004" w:hRule="atLeast"/>
                        </w:trPr>
                        <w:tc>
                          <w:tcPr>
                            <w:tcW w:type="dxa" w:w="191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eeee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</w:p>
    <w:sectPr>
      <w:headerReference w:type="default" r:id="rId6"/>
      <w:footerReference w:type="default" r:id="rId7"/>
      <w:pgSz w:w="16840" w:h="11900" w:orient="landscape"/>
      <w:pgMar w:top="1800" w:right="1080" w:bottom="1080" w:left="1080" w:header="360" w:footer="36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</w:p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ind w:left="720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359" w:hanging="27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079" w:hanging="27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799" w:hanging="27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519" w:hanging="27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239" w:hanging="27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959" w:hanging="27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679" w:hanging="27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399" w:hanging="27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•"/>
      <w:lvlJc w:val="left"/>
      <w:pPr>
        <w:ind w:left="720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359" w:hanging="27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079" w:hanging="27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799" w:hanging="27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519" w:hanging="27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239" w:hanging="27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959" w:hanging="27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679" w:hanging="27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399" w:hanging="27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ew_Body">
    <w:name w:val="New_Body"/>
    <w:next w:val="New_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288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7"/>
      <w:szCs w:val="17"/>
      <w:u w:val="none" w:color="000000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0563c1"/>
      <w:u w:val="single" w:color="0563c1"/>
      <w:lang w:val="en-US"/>
      <w14:textFill>
        <w14:solidFill>
          <w14:srgbClr w14:val="0563C1"/>
        </w14:solidFill>
      </w14:textFill>
    </w:rPr>
  </w:style>
  <w:style w:type="paragraph" w:styleId="Subheading">
    <w:name w:val="Subheading"/>
    <w:next w:val="Subheadi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4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b03d48"/>
      <w:spacing w:val="0"/>
      <w:kern w:val="0"/>
      <w:position w:val="0"/>
      <w:sz w:val="22"/>
      <w:szCs w:val="22"/>
      <w:u w:val="none" w:color="000000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B03D48"/>
        </w14:solidFill>
      </w14:textFill>
    </w:rPr>
  </w:style>
  <w:style w:type="paragraph" w:styleId="Bullets">
    <w:name w:val="Bullets"/>
    <w:next w:val="Bullet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4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Inset_Sub 1">
    <w:name w:val="Inset_Sub 1"/>
    <w:next w:val="Inset_Sub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40" w:line="240" w:lineRule="auto"/>
      <w:ind w:left="153" w:right="0" w:firstLine="0"/>
      <w:jc w:val="left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b03d48"/>
      <w:spacing w:val="0"/>
      <w:kern w:val="0"/>
      <w:position w:val="0"/>
      <w:sz w:val="22"/>
      <w:szCs w:val="22"/>
      <w:u w:val="none" w:color="000000"/>
      <w:vertAlign w:val="baseline"/>
      <w:lang w:val="fr-FR"/>
      <w14:textOutline w14:w="12700" w14:cap="flat">
        <w14:noFill/>
        <w14:miter w14:lim="400000"/>
      </w14:textOutline>
      <w14:textFill>
        <w14:solidFill>
          <w14:srgbClr w14:val="B03D48"/>
        </w14:solidFill>
      </w14:textFill>
    </w:rPr>
  </w:style>
  <w:style w:type="paragraph" w:styleId="New_Body_Indent">
    <w:name w:val="New_Body_Indent"/>
    <w:next w:val="New_Body_Inden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40" w:lineRule="auto"/>
      <w:ind w:left="153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able Style 6 A">
    <w:name w:val="Table Style 6 A"/>
    <w:next w:val="Table Style 6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606060"/>
      <w:spacing w:val="0"/>
      <w:kern w:val="0"/>
      <w:position w:val="0"/>
      <w:sz w:val="20"/>
      <w:szCs w:val="20"/>
      <w:u w:val="none" w:color="606060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60606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06B_Lesson">
  <a:themeElements>
    <a:clrScheme name="06B_Lesso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97C0"/>
      </a:accent1>
      <a:accent2>
        <a:srgbClr val="4F9D8D"/>
      </a:accent2>
      <a:accent3>
        <a:srgbClr val="517F25"/>
      </a:accent3>
      <a:accent4>
        <a:srgbClr val="C78D31"/>
      </a:accent4>
      <a:accent5>
        <a:srgbClr val="E76702"/>
      </a:accent5>
      <a:accent6>
        <a:srgbClr val="F8653C"/>
      </a:accent6>
      <a:hlink>
        <a:srgbClr val="0000FF"/>
      </a:hlink>
      <a:folHlink>
        <a:srgbClr val="FF00FF"/>
      </a:folHlink>
    </a:clrScheme>
    <a:fontScheme name="06B_Lesson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06B_Lesso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